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0A771B" w:rsidRPr="000A771B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A406B7">
        <w:rPr>
          <w:sz w:val="26"/>
          <w:szCs w:val="26"/>
        </w:rPr>
        <w:t>17</w:t>
      </w:r>
      <w:r w:rsidR="000A771B">
        <w:rPr>
          <w:sz w:val="26"/>
          <w:szCs w:val="26"/>
        </w:rPr>
        <w:t>.11.202</w:t>
      </w:r>
      <w:r w:rsidR="00CE0093" w:rsidRPr="00C87CF5">
        <w:rPr>
          <w:sz w:val="26"/>
          <w:szCs w:val="26"/>
        </w:rPr>
        <w:t xml:space="preserve"> по </w:t>
      </w:r>
      <w:r w:rsidR="00A406B7">
        <w:rPr>
          <w:sz w:val="26"/>
          <w:szCs w:val="26"/>
          <w:u w:val="single"/>
        </w:rPr>
        <w:t>19</w:t>
      </w:r>
      <w:bookmarkStart w:id="0" w:name="_GoBack"/>
      <w:bookmarkEnd w:id="0"/>
      <w:r w:rsidR="000A771B">
        <w:rPr>
          <w:sz w:val="26"/>
          <w:szCs w:val="26"/>
          <w:u w:val="single"/>
        </w:rPr>
        <w:t>.11.2020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406B7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7C14D-C40B-4D2E-96AA-9470EC81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888-1832-4DE8-86EF-40A5A561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 Веретенников</cp:lastModifiedBy>
  <cp:revision>11</cp:revision>
  <cp:lastPrinted>2016-01-18T10:58:00Z</cp:lastPrinted>
  <dcterms:created xsi:type="dcterms:W3CDTF">2016-01-18T10:47:00Z</dcterms:created>
  <dcterms:modified xsi:type="dcterms:W3CDTF">2020-11-16T03:22:00Z</dcterms:modified>
</cp:coreProperties>
</file>