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>о результатах 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постановления администрации ЗАТО Звёздный </w:t>
      </w:r>
      <w:r w:rsidR="00217C29" w:rsidRPr="00F74B8D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6E4D7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Отсутствие регламентирующих процедур</w:t>
      </w:r>
      <w:r w:rsidRPr="00D72B86">
        <w:rPr>
          <w:bCs/>
          <w:sz w:val="26"/>
          <w:szCs w:val="26"/>
        </w:rPr>
        <w:t xml:space="preserve"> организации и осуществления </w:t>
      </w:r>
      <w:r w:rsidR="00217C29">
        <w:rPr>
          <w:bCs/>
          <w:sz w:val="26"/>
          <w:szCs w:val="26"/>
        </w:rPr>
        <w:t xml:space="preserve">предоставления </w:t>
      </w:r>
      <w:r w:rsidR="00217C29" w:rsidRPr="00F74B8D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</w:t>
      </w:r>
      <w:r w:rsidR="00217C29">
        <w:rPr>
          <w:sz w:val="26"/>
          <w:szCs w:val="26"/>
        </w:rPr>
        <w:t xml:space="preserve"> строительства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6E4D7B" w:rsidRPr="00D72B86">
        <w:rPr>
          <w:bCs/>
          <w:sz w:val="26"/>
          <w:szCs w:val="26"/>
        </w:rPr>
        <w:t xml:space="preserve">организации и осуществления </w:t>
      </w:r>
      <w:r w:rsidR="00217C29" w:rsidRPr="00217C29"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 xml:space="preserve">муниципальной услуги по выдаче </w:t>
      </w:r>
      <w:r w:rsidR="00217C29" w:rsidRPr="00217C29">
        <w:rPr>
          <w:bCs/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217C29">
        <w:rPr>
          <w:sz w:val="26"/>
          <w:szCs w:val="26"/>
        </w:rPr>
        <w:t>(далее – муниципальная услуга</w:t>
      </w:r>
      <w:r>
        <w:rPr>
          <w:sz w:val="26"/>
          <w:szCs w:val="26"/>
        </w:rPr>
        <w:t>)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217C29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«16» ноября 2020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«18</w:t>
      </w:r>
      <w:r w:rsidR="007E5774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 2020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Рифа Елизавета Альвертовна</w:t>
      </w:r>
    </w:p>
    <w:p w:rsidR="00036B47" w:rsidRPr="00036B47" w:rsidRDefault="00E756A2" w:rsidP="00036B47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администрации ЗАТО Звёздный</w:t>
      </w:r>
    </w:p>
    <w:p w:rsidR="00697446" w:rsidRDefault="00E756A2" w:rsidP="00036B47">
      <w:pPr>
        <w:pStyle w:val="a7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143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  <w:r w:rsidRPr="00C87CF5">
        <w:rPr>
          <w:sz w:val="26"/>
          <w:szCs w:val="26"/>
        </w:rPr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8" w:history="1">
        <w:r w:rsidR="00036B47" w:rsidRPr="00387E25">
          <w:rPr>
            <w:rStyle w:val="ab"/>
            <w:bCs/>
            <w:szCs w:val="26"/>
            <w:lang w:val="en-US"/>
          </w:rPr>
          <w:t>star</w:t>
        </w:r>
        <w:r w:rsidR="00036B47" w:rsidRPr="00387E25">
          <w:rPr>
            <w:rStyle w:val="ab"/>
            <w:bCs/>
            <w:szCs w:val="26"/>
          </w:rPr>
          <w:t>25@</w:t>
        </w:r>
        <w:r w:rsidR="00036B47" w:rsidRPr="00387E25">
          <w:rPr>
            <w:rStyle w:val="ab"/>
            <w:bCs/>
            <w:szCs w:val="26"/>
            <w:lang w:val="en-US"/>
          </w:rPr>
          <w:t>permkray</w:t>
        </w:r>
        <w:r w:rsidR="00036B47" w:rsidRPr="00387E25">
          <w:rPr>
            <w:rStyle w:val="ab"/>
            <w:bCs/>
            <w:szCs w:val="26"/>
          </w:rPr>
          <w:t>.</w:t>
        </w:r>
        <w:r w:rsidR="00036B47" w:rsidRPr="00387E25">
          <w:rPr>
            <w:rStyle w:val="ab"/>
            <w:bCs/>
            <w:szCs w:val="26"/>
            <w:lang w:val="en-US"/>
          </w:rPr>
          <w:t>ru</w:t>
        </w:r>
      </w:hyperlink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233D5F" w:rsidRDefault="00233D5F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0F5C1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Отсутствие </w:t>
      </w:r>
      <w:r w:rsidR="00117518">
        <w:rPr>
          <w:bCs/>
          <w:sz w:val="26"/>
          <w:szCs w:val="26"/>
        </w:rPr>
        <w:t>административного регламента</w:t>
      </w:r>
      <w:r w:rsidRPr="00D72B86">
        <w:rPr>
          <w:bCs/>
          <w:sz w:val="26"/>
          <w:szCs w:val="26"/>
        </w:rPr>
        <w:t xml:space="preserve"> </w:t>
      </w:r>
      <w:r w:rsidR="00217C29">
        <w:rPr>
          <w:bCs/>
          <w:sz w:val="26"/>
          <w:szCs w:val="26"/>
        </w:rPr>
        <w:t>муниципальной услуги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0F5C1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лицами, индивидуальные предприниматели, осуществляющие</w:t>
      </w:r>
      <w:r w:rsidRPr="00D72B86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строительство, реконструкцию объектов капитального строительства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B3E1A" w:rsidRDefault="006B7F8B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217C29">
        <w:rPr>
          <w:sz w:val="26"/>
          <w:szCs w:val="26"/>
        </w:rPr>
        <w:t>Требования</w:t>
      </w:r>
      <w:r w:rsidR="00E87354" w:rsidRPr="00217C29">
        <w:rPr>
          <w:sz w:val="26"/>
          <w:szCs w:val="26"/>
        </w:rPr>
        <w:t xml:space="preserve"> </w:t>
      </w:r>
      <w:r w:rsidR="005C3D46">
        <w:rPr>
          <w:sz w:val="26"/>
          <w:szCs w:val="26"/>
        </w:rPr>
        <w:t>ст. 40</w:t>
      </w:r>
      <w:r w:rsidR="00217C29" w:rsidRPr="00217C29">
        <w:rPr>
          <w:sz w:val="26"/>
          <w:szCs w:val="26"/>
        </w:rPr>
        <w:t xml:space="preserve"> Градостроительного кодекса РФ, Федерального закона от 27.07.2010 № 210-ФЗ «Об организации предоставления государс</w:t>
      </w:r>
      <w:r w:rsidR="009F3C5E">
        <w:rPr>
          <w:sz w:val="26"/>
          <w:szCs w:val="26"/>
        </w:rPr>
        <w:t>твенных и муниципальных услуг»</w:t>
      </w:r>
    </w:p>
    <w:p w:rsidR="00AB3E1A" w:rsidRPr="00AB3E1A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  <w:r w:rsidR="00AB3E1A" w:rsidRPr="00AB3E1A">
        <w:rPr>
          <w:sz w:val="26"/>
          <w:szCs w:val="26"/>
        </w:rPr>
        <w:t xml:space="preserve">Постановление администрации </w:t>
      </w:r>
      <w:r w:rsidR="00217C29">
        <w:rPr>
          <w:sz w:val="26"/>
          <w:szCs w:val="26"/>
        </w:rPr>
        <w:t>Пермского муниципального района</w:t>
      </w:r>
      <w:r w:rsidR="00AB3E1A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от 14.12.2018</w:t>
      </w:r>
      <w:r w:rsidR="009039D5">
        <w:rPr>
          <w:sz w:val="26"/>
          <w:szCs w:val="26"/>
        </w:rPr>
        <w:t xml:space="preserve"> №</w:t>
      </w:r>
      <w:r w:rsidR="00217C29">
        <w:rPr>
          <w:sz w:val="26"/>
          <w:szCs w:val="26"/>
        </w:rPr>
        <w:t xml:space="preserve"> 673</w:t>
      </w:r>
      <w:r w:rsidR="00AB3E1A" w:rsidRPr="00AB3E1A">
        <w:rPr>
          <w:sz w:val="26"/>
          <w:szCs w:val="26"/>
        </w:rPr>
        <w:t xml:space="preserve"> </w:t>
      </w:r>
      <w:r w:rsidR="00AB3E1A">
        <w:rPr>
          <w:sz w:val="26"/>
          <w:szCs w:val="26"/>
        </w:rPr>
        <w:t>«</w:t>
      </w:r>
      <w:r w:rsidR="00217C29" w:rsidRPr="00217C29">
        <w:rPr>
          <w:sz w:val="26"/>
          <w:szCs w:val="26"/>
        </w:rPr>
        <w:t>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</w:t>
      </w:r>
      <w:r w:rsidR="00217C29">
        <w:rPr>
          <w:sz w:val="26"/>
          <w:szCs w:val="26"/>
        </w:rPr>
        <w:t>ктов капитального строительства</w:t>
      </w:r>
      <w:r w:rsidR="00AB3E1A">
        <w:rPr>
          <w:sz w:val="26"/>
          <w:szCs w:val="26"/>
        </w:rPr>
        <w:t>»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9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516021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Единоразово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D21CF3" w:rsidRPr="0051602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CB11D3" w:rsidRPr="00516021">
              <w:rPr>
                <w:i/>
                <w:iCs/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516021" w:rsidRDefault="009F3C5E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 xml:space="preserve">(Цель </w:t>
            </w:r>
            <w:r w:rsidR="00FC2D25" w:rsidRPr="00516021">
              <w:rPr>
                <w:i/>
                <w:iCs/>
                <w:sz w:val="26"/>
                <w:szCs w:val="26"/>
              </w:rPr>
              <w:t>3</w:t>
            </w:r>
            <w:r w:rsidR="00E756A2" w:rsidRPr="00516021">
              <w:rPr>
                <w:i/>
                <w:iCs/>
                <w:sz w:val="26"/>
                <w:szCs w:val="26"/>
              </w:rPr>
              <w:t>)</w:t>
            </w:r>
            <w:r w:rsidR="00FC2D25" w:rsidRPr="00516021">
              <w:rPr>
                <w:i/>
                <w:iCs/>
                <w:sz w:val="26"/>
                <w:szCs w:val="26"/>
              </w:rPr>
              <w:t xml:space="preserve"> Повышение эффективности </w:t>
            </w:r>
            <w:r w:rsidR="00CB11D3" w:rsidRPr="00516021">
              <w:rPr>
                <w:i/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E756A2" w:rsidRPr="00516021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C87CF5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B5572C" w:rsidP="0012551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C3D46">
        <w:rPr>
          <w:sz w:val="26"/>
          <w:szCs w:val="26"/>
        </w:rPr>
        <w:t>т. 40</w:t>
      </w:r>
      <w:r w:rsidRPr="00B5572C">
        <w:rPr>
          <w:sz w:val="26"/>
          <w:szCs w:val="26"/>
        </w:rPr>
        <w:t xml:space="preserve"> Градостроительного кодекса РФ, Федерального закона от 27.07.2010 № 210-ФЗ «Об организации предоставления государс</w:t>
      </w:r>
      <w:r w:rsidR="009B1A0F">
        <w:rPr>
          <w:sz w:val="26"/>
          <w:szCs w:val="26"/>
        </w:rPr>
        <w:t>твенных и муниципальных услуг»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C87CF5" w:rsidTr="009B1A0F">
        <w:trPr>
          <w:trHeight w:val="1180"/>
        </w:trPr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1) </w:t>
            </w:r>
            <w:r w:rsidR="009B1A0F" w:rsidRPr="00516021">
              <w:rPr>
                <w:i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Регламентация</w:t>
            </w:r>
            <w:r w:rsidR="009F3C5E" w:rsidRPr="00516021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2) Реализация полномочий органов местного самоуправления ЗАТО Звёздный в области градостроительной деятельности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3) 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Соблюдение сроков, снижение уровня отказов,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дни рабочие</w:t>
            </w:r>
          </w:p>
          <w:p w:rsidR="00516021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Отказы – кол-во</w:t>
            </w:r>
          </w:p>
          <w:p w:rsidR="00516021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в соответствии с действующим законодательством не более 76 рабочих дней</w:t>
            </w:r>
          </w:p>
          <w:p w:rsidR="00516021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Отказов - 0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25512" w:rsidRPr="00125512">
              <w:rPr>
                <w:i/>
                <w:sz w:val="26"/>
                <w:szCs w:val="26"/>
              </w:rPr>
              <w:t xml:space="preserve">Физические, юридические лицами, индивидуальные предприниматели, осуществляющие </w:t>
            </w:r>
            <w:r w:rsidR="009B1A0F">
              <w:rPr>
                <w:i/>
                <w:sz w:val="26"/>
                <w:szCs w:val="26"/>
              </w:rPr>
              <w:t>строительную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ОАГиКХ администрации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E756A2" w:rsidRPr="00BB4C39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BB4C39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BB4C39">
              <w:rPr>
                <w:i/>
                <w:iCs/>
                <w:sz w:val="26"/>
                <w:szCs w:val="26"/>
              </w:rPr>
              <w:t xml:space="preserve"> физическими, юридическими лицами, индивидуальными предпринимателями,</w:t>
            </w:r>
            <w:r w:rsidR="004C675A" w:rsidRPr="00BB4C39">
              <w:rPr>
                <w:i/>
                <w:sz w:val="26"/>
                <w:szCs w:val="26"/>
              </w:rPr>
              <w:t xml:space="preserve"> осуществляющими </w:t>
            </w:r>
            <w:r w:rsidRPr="00BB4C39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E756A2" w:rsidRPr="00C87CF5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обязанностей и ограничений, вводимые </w:t>
            </w:r>
            <w:r w:rsidRPr="00C87CF5">
              <w:rPr>
                <w:sz w:val="26"/>
                <w:szCs w:val="26"/>
              </w:rPr>
              <w:lastRenderedPageBreak/>
              <w:t xml:space="preserve">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связанных с введением </w:t>
            </w:r>
            <w:r w:rsidRPr="00C87CF5">
              <w:rPr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Физические, юридические лицами,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9B1A0F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BB4C39">
              <w:rPr>
                <w:iCs/>
                <w:sz w:val="26"/>
                <w:szCs w:val="26"/>
              </w:rPr>
              <w:t>П. 2.6</w:t>
            </w:r>
            <w:r w:rsidR="0046769B" w:rsidRPr="00BB4C39">
              <w:rPr>
                <w:iCs/>
                <w:sz w:val="26"/>
                <w:szCs w:val="26"/>
              </w:rPr>
              <w:t xml:space="preserve"> данного проекта административного регламента</w:t>
            </w:r>
          </w:p>
        </w:tc>
        <w:tc>
          <w:tcPr>
            <w:tcW w:w="3402" w:type="dxa"/>
          </w:tcPr>
          <w:p w:rsidR="00E756A2" w:rsidRPr="00BB4C39" w:rsidRDefault="00B5572C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Оплата проведения публичных слушаний</w:t>
            </w:r>
          </w:p>
        </w:tc>
        <w:tc>
          <w:tcPr>
            <w:tcW w:w="2693" w:type="dxa"/>
          </w:tcPr>
          <w:p w:rsidR="00E756A2" w:rsidRPr="00B5572C" w:rsidRDefault="00233D5F" w:rsidP="00E756A2">
            <w:pPr>
              <w:pStyle w:val="a7"/>
              <w:jc w:val="both"/>
              <w:rPr>
                <w:sz w:val="26"/>
                <w:szCs w:val="26"/>
                <w:highlight w:val="yellow"/>
              </w:rPr>
            </w:pPr>
            <w:r w:rsidRPr="00233D5F">
              <w:rPr>
                <w:sz w:val="26"/>
                <w:szCs w:val="26"/>
              </w:rPr>
              <w:t>Устанавливается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5232C6" w:rsidRDefault="005232C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B53557" w:rsidRPr="00F95C57" w:rsidRDefault="00B53557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E756A2" w:rsidRPr="00C87CF5" w:rsidTr="00E756A2"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5232C6" w:rsidRDefault="005232C6" w:rsidP="005232C6">
      <w:pPr>
        <w:pStyle w:val="a7"/>
        <w:ind w:firstLine="708"/>
        <w:jc w:val="both"/>
        <w:rPr>
          <w:sz w:val="26"/>
          <w:szCs w:val="26"/>
        </w:rPr>
      </w:pP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E756A2" w:rsidRPr="00C87CF5" w:rsidTr="00E756A2">
        <w:trPr>
          <w:cantSplit/>
        </w:trPr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9.2. Качественная характеристика и оценка динамики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-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-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2</w:t>
      </w:r>
      <w:r w:rsidR="009B1A0F">
        <w:rPr>
          <w:sz w:val="26"/>
          <w:szCs w:val="26"/>
        </w:rPr>
        <w:t>3</w:t>
      </w:r>
      <w:r>
        <w:rPr>
          <w:sz w:val="26"/>
          <w:szCs w:val="26"/>
        </w:rPr>
        <w:t>.11.2020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окончание: 04</w:t>
      </w:r>
      <w:r w:rsidR="000E1A6C">
        <w:rPr>
          <w:sz w:val="26"/>
          <w:szCs w:val="26"/>
        </w:rPr>
        <w:t>.12.2020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233D5F" w:rsidP="00A13BF5">
      <w:pPr>
        <w:pStyle w:val="a7"/>
        <w:jc w:val="both"/>
        <w:rPr>
          <w:sz w:val="26"/>
          <w:szCs w:val="26"/>
        </w:rPr>
      </w:pPr>
      <w:hyperlink r:id="rId10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AA" w:rsidRDefault="00723CAA" w:rsidP="00F24195">
      <w:pPr>
        <w:spacing w:after="0" w:line="240" w:lineRule="auto"/>
      </w:pPr>
      <w:r>
        <w:separator/>
      </w:r>
    </w:p>
  </w:endnote>
  <w:end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AA" w:rsidRDefault="00723CAA" w:rsidP="00F24195">
      <w:pPr>
        <w:spacing w:after="0" w:line="240" w:lineRule="auto"/>
      </w:pPr>
      <w:r>
        <w:separator/>
      </w:r>
    </w:p>
  </w:footnote>
  <w:foot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D5F">
      <w:rPr>
        <w:noProof/>
      </w:rPr>
      <w:t>8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1F2185"/>
    <w:rsid w:val="00200250"/>
    <w:rsid w:val="002041D1"/>
    <w:rsid w:val="002147B6"/>
    <w:rsid w:val="00217C29"/>
    <w:rsid w:val="00223176"/>
    <w:rsid w:val="00233D5F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74AE"/>
    <w:rsid w:val="00492BD0"/>
    <w:rsid w:val="004C675A"/>
    <w:rsid w:val="004E1564"/>
    <w:rsid w:val="004F6E4C"/>
    <w:rsid w:val="00516021"/>
    <w:rsid w:val="0051771C"/>
    <w:rsid w:val="005232C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C3D46"/>
    <w:rsid w:val="005D494A"/>
    <w:rsid w:val="005E3674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54A1"/>
    <w:rsid w:val="007D4DD4"/>
    <w:rsid w:val="007E3F1C"/>
    <w:rsid w:val="007E577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32820"/>
    <w:rsid w:val="00A55257"/>
    <w:rsid w:val="00A70996"/>
    <w:rsid w:val="00A922EC"/>
    <w:rsid w:val="00AA039C"/>
    <w:rsid w:val="00AA5E32"/>
    <w:rsid w:val="00AB3E1A"/>
    <w:rsid w:val="00AC526B"/>
    <w:rsid w:val="00AC5C0B"/>
    <w:rsid w:val="00AE1DD1"/>
    <w:rsid w:val="00AE27D3"/>
    <w:rsid w:val="00AF569A"/>
    <w:rsid w:val="00AF7015"/>
    <w:rsid w:val="00B25369"/>
    <w:rsid w:val="00B37C51"/>
    <w:rsid w:val="00B43FA0"/>
    <w:rsid w:val="00B53557"/>
    <w:rsid w:val="00B5572C"/>
    <w:rsid w:val="00B56823"/>
    <w:rsid w:val="00B6437E"/>
    <w:rsid w:val="00B926B1"/>
    <w:rsid w:val="00B92DDF"/>
    <w:rsid w:val="00B96874"/>
    <w:rsid w:val="00BA4A28"/>
    <w:rsid w:val="00BB4C39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017E-24C7-4097-B14A-F561413E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zvezdny.permarea.ru/Biznes/ocenka_regulirujushhego_vozdejstvij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43C7-E345-4CEA-A0AF-76B12B76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 Веретенников</cp:lastModifiedBy>
  <cp:revision>56</cp:revision>
  <cp:lastPrinted>2015-11-02T12:06:00Z</cp:lastPrinted>
  <dcterms:created xsi:type="dcterms:W3CDTF">2015-09-14T06:57:00Z</dcterms:created>
  <dcterms:modified xsi:type="dcterms:W3CDTF">2020-12-07T08:25:00Z</dcterms:modified>
</cp:coreProperties>
</file>